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181" w:rsidRDefault="008556FC">
      <w:r>
        <w:t>Human health Literacy Syllabus</w:t>
      </w:r>
    </w:p>
    <w:p w:rsidR="008556FC" w:rsidRDefault="008556FC"/>
    <w:p w:rsidR="008556FC" w:rsidRPr="00E25DA8" w:rsidRDefault="008556FC" w:rsidP="008556FC">
      <w:pPr>
        <w:pStyle w:val="NormalWeb"/>
        <w:rPr>
          <w:rFonts w:ascii="Calibri" w:hAnsi="Calibri" w:cs="Calibri"/>
          <w:b/>
          <w:bCs/>
          <w:sz w:val="22"/>
          <w:szCs w:val="22"/>
        </w:rPr>
      </w:pPr>
      <w:r w:rsidRPr="00E25DA8">
        <w:rPr>
          <w:rFonts w:ascii="Calibri" w:hAnsi="Calibri" w:cs="Calibri"/>
          <w:b/>
          <w:bCs/>
          <w:sz w:val="22"/>
          <w:szCs w:val="22"/>
        </w:rPr>
        <w:t>Acknowledgement</w:t>
      </w:r>
    </w:p>
    <w:p w:rsidR="008556FC" w:rsidRDefault="008556FC" w:rsidP="008556FC">
      <w:pPr>
        <w:pStyle w:val="NormalWeb"/>
        <w:rPr>
          <w:rFonts w:ascii="Calibri" w:hAnsi="Calibri" w:cs="Calibri"/>
          <w:sz w:val="22"/>
          <w:szCs w:val="22"/>
        </w:rPr>
      </w:pPr>
      <w:r>
        <w:rPr>
          <w:rFonts w:ascii="Calibri" w:hAnsi="Calibri" w:cs="Calibri"/>
          <w:sz w:val="22"/>
          <w:szCs w:val="22"/>
        </w:rPr>
        <w:t xml:space="preserve">UBC’s Point Grey Campus is located on the traditional, ancestral, and unceded territory of the </w:t>
      </w:r>
      <w:proofErr w:type="spellStart"/>
      <w:r>
        <w:rPr>
          <w:rFonts w:ascii="Calibri" w:hAnsi="Calibri" w:cs="Calibri"/>
          <w:sz w:val="22"/>
          <w:szCs w:val="22"/>
        </w:rPr>
        <w:t>xwməθkwəy̓əm</w:t>
      </w:r>
      <w:proofErr w:type="spellEnd"/>
      <w:r>
        <w:rPr>
          <w:rFonts w:ascii="Calibri" w:hAnsi="Calibri" w:cs="Calibri"/>
          <w:sz w:val="22"/>
          <w:szCs w:val="22"/>
        </w:rPr>
        <w:t xml:space="preserve"> (Musqueam) people. The land it is situated on has always been a place of learning for the Musqueam people, who for millennia have passed on their culture, history, and traditions from one generation to the next on this site.   We also acknowledge all the unceded, traditional lands where you are joining this course from.</w:t>
      </w:r>
    </w:p>
    <w:p w:rsidR="008556FC" w:rsidRPr="00E25DA8" w:rsidRDefault="008556FC" w:rsidP="008556FC">
      <w:pPr>
        <w:pStyle w:val="NormalWeb"/>
        <w:rPr>
          <w:rFonts w:ascii="Calibri" w:hAnsi="Calibri" w:cs="Calibri"/>
          <w:b/>
          <w:bCs/>
          <w:sz w:val="22"/>
          <w:szCs w:val="22"/>
        </w:rPr>
      </w:pPr>
      <w:r w:rsidRPr="00E25DA8">
        <w:rPr>
          <w:rFonts w:ascii="Calibri" w:hAnsi="Calibri" w:cs="Calibri"/>
          <w:b/>
          <w:bCs/>
          <w:sz w:val="22"/>
          <w:szCs w:val="22"/>
        </w:rPr>
        <w:t>Course Information</w:t>
      </w:r>
    </w:p>
    <w:p w:rsidR="008556FC" w:rsidRDefault="008556FC" w:rsidP="008556FC">
      <w:pPr>
        <w:pStyle w:val="NormalWeb"/>
        <w:rPr>
          <w:rFonts w:ascii="Calibri" w:hAnsi="Calibri" w:cs="Calibri"/>
          <w:sz w:val="22"/>
          <w:szCs w:val="22"/>
        </w:rPr>
      </w:pPr>
      <w:r w:rsidRPr="00E25DA8">
        <w:rPr>
          <w:rFonts w:ascii="Calibri" w:hAnsi="Calibri" w:cs="Calibri"/>
          <w:b/>
          <w:bCs/>
          <w:sz w:val="22"/>
          <w:szCs w:val="22"/>
        </w:rPr>
        <w:t>Course Title:</w:t>
      </w:r>
      <w:r>
        <w:rPr>
          <w:rFonts w:ascii="Calibri" w:hAnsi="Calibri" w:cs="Calibri"/>
          <w:sz w:val="22"/>
          <w:szCs w:val="22"/>
        </w:rPr>
        <w:t xml:space="preserve">  Human Health Literacy. [CAPS 210</w:t>
      </w:r>
      <w:proofErr w:type="gramStart"/>
      <w:r>
        <w:rPr>
          <w:rFonts w:ascii="Calibri" w:hAnsi="Calibri" w:cs="Calibri"/>
          <w:sz w:val="22"/>
          <w:szCs w:val="22"/>
        </w:rPr>
        <w:t>],  [</w:t>
      </w:r>
      <w:proofErr w:type="gramEnd"/>
      <w:r>
        <w:rPr>
          <w:rFonts w:ascii="Calibri" w:hAnsi="Calibri" w:cs="Calibri"/>
          <w:sz w:val="22"/>
          <w:szCs w:val="22"/>
        </w:rPr>
        <w:t>3 credits]</w:t>
      </w:r>
    </w:p>
    <w:p w:rsidR="008556FC" w:rsidRPr="00E25DA8" w:rsidRDefault="008556FC" w:rsidP="008556FC">
      <w:pPr>
        <w:pStyle w:val="NormalWeb"/>
        <w:rPr>
          <w:rFonts w:ascii="Calibri" w:hAnsi="Calibri" w:cs="Calibri"/>
          <w:b/>
          <w:bCs/>
          <w:sz w:val="22"/>
          <w:szCs w:val="22"/>
        </w:rPr>
      </w:pPr>
      <w:r w:rsidRPr="00E25DA8">
        <w:rPr>
          <w:rFonts w:ascii="Calibri" w:hAnsi="Calibri" w:cs="Calibri"/>
          <w:b/>
          <w:bCs/>
          <w:sz w:val="22"/>
          <w:szCs w:val="22"/>
        </w:rPr>
        <w:t>No prerequisites / No corequisites</w:t>
      </w:r>
    </w:p>
    <w:p w:rsidR="008556FC" w:rsidRPr="008556FC" w:rsidRDefault="008556FC" w:rsidP="008556FC">
      <w:pPr>
        <w:pStyle w:val="NormalWeb"/>
        <w:rPr>
          <w:rFonts w:asciiTheme="minorHAnsi" w:hAnsiTheme="minorHAnsi" w:cstheme="minorHAnsi"/>
          <w:sz w:val="22"/>
          <w:szCs w:val="22"/>
        </w:rPr>
      </w:pPr>
      <w:r w:rsidRPr="008556FC">
        <w:rPr>
          <w:rFonts w:asciiTheme="minorHAnsi" w:hAnsiTheme="minorHAnsi" w:cstheme="minorHAnsi"/>
          <w:b/>
          <w:bCs/>
          <w:color w:val="212121"/>
          <w:sz w:val="22"/>
          <w:szCs w:val="22"/>
          <w:shd w:val="clear" w:color="auto" w:fill="FFFFFF"/>
        </w:rPr>
        <w:t xml:space="preserve">This course is Not </w:t>
      </w:r>
      <w:r>
        <w:rPr>
          <w:rFonts w:asciiTheme="minorHAnsi" w:hAnsiTheme="minorHAnsi" w:cstheme="minorHAnsi"/>
          <w:b/>
          <w:bCs/>
          <w:color w:val="212121"/>
          <w:sz w:val="22"/>
          <w:szCs w:val="22"/>
          <w:shd w:val="clear" w:color="auto" w:fill="FFFFFF"/>
        </w:rPr>
        <w:t>F</w:t>
      </w:r>
      <w:r w:rsidRPr="008556FC">
        <w:rPr>
          <w:rFonts w:asciiTheme="minorHAnsi" w:hAnsiTheme="minorHAnsi" w:cstheme="minorHAnsi"/>
          <w:b/>
          <w:bCs/>
          <w:color w:val="212121"/>
          <w:sz w:val="22"/>
          <w:szCs w:val="22"/>
          <w:shd w:val="clear" w:color="auto" w:fill="FFFFFF"/>
        </w:rPr>
        <w:t>or</w:t>
      </w:r>
      <w:r w:rsidRPr="008556FC">
        <w:rPr>
          <w:rFonts w:asciiTheme="minorHAnsi" w:hAnsiTheme="minorHAnsi" w:cstheme="minorHAnsi"/>
          <w:color w:val="212121"/>
          <w:sz w:val="22"/>
          <w:szCs w:val="22"/>
          <w:shd w:val="clear" w:color="auto" w:fill="FFFFFF"/>
        </w:rPr>
        <w:t xml:space="preserve"> students with Biology 12, Anatomy and Physiology 12, or enrolled in the Faculties of Science, Land and Food Systems, Pharmaceutical Sciences, Applied Science or School of Kinesiology.</w:t>
      </w:r>
    </w:p>
    <w:p w:rsidR="008556FC" w:rsidRPr="00E25DA8" w:rsidRDefault="008556FC" w:rsidP="008556FC">
      <w:pPr>
        <w:pStyle w:val="NormalWeb"/>
        <w:rPr>
          <w:b/>
          <w:bCs/>
        </w:rPr>
      </w:pPr>
      <w:r w:rsidRPr="00E25DA8">
        <w:rPr>
          <w:b/>
          <w:bCs/>
        </w:rPr>
        <w:t>Contacts:</w:t>
      </w:r>
    </w:p>
    <w:p w:rsidR="008556FC" w:rsidRDefault="008556FC" w:rsidP="008556FC">
      <w:pPr>
        <w:pStyle w:val="NormalWeb"/>
      </w:pPr>
      <w:r>
        <w:t xml:space="preserve">Course Instructor:  </w:t>
      </w:r>
    </w:p>
    <w:p w:rsidR="008556FC" w:rsidRDefault="008556FC" w:rsidP="00E25DA8">
      <w:pPr>
        <w:pStyle w:val="NormalWeb"/>
        <w:ind w:firstLine="720"/>
      </w:pPr>
      <w:r>
        <w:t xml:space="preserve">Dr. Carol Ann </w:t>
      </w:r>
      <w:proofErr w:type="spellStart"/>
      <w:r>
        <w:t>Courneya</w:t>
      </w:r>
      <w:proofErr w:type="spellEnd"/>
      <w:r>
        <w:t xml:space="preserve"> (she/her/hers)</w:t>
      </w:r>
    </w:p>
    <w:p w:rsidR="008556FC" w:rsidRDefault="00000000" w:rsidP="00E25DA8">
      <w:pPr>
        <w:pStyle w:val="NormalWeb"/>
        <w:ind w:firstLine="720"/>
      </w:pPr>
      <w:hyperlink r:id="rId5" w:history="1">
        <w:r w:rsidR="008556FC" w:rsidRPr="008A6E68">
          <w:rPr>
            <w:rStyle w:val="Hyperlink"/>
          </w:rPr>
          <w:t>courneya@mail.ubc.ca</w:t>
        </w:r>
      </w:hyperlink>
      <w:r w:rsidR="008556FC">
        <w:t xml:space="preserve"> (response time: 1-2 days)</w:t>
      </w:r>
    </w:p>
    <w:p w:rsidR="008556FC" w:rsidRDefault="008556FC" w:rsidP="00E25DA8">
      <w:pPr>
        <w:pStyle w:val="NormalWeb"/>
        <w:ind w:firstLine="720"/>
      </w:pPr>
      <w:r w:rsidRPr="008556FC">
        <w:rPr>
          <w:b/>
          <w:bCs/>
        </w:rPr>
        <w:t>Online Synchronous Office Hours</w:t>
      </w:r>
      <w:r>
        <w:t xml:space="preserve"> Friday from 12:00pm-1pm (Zoom Link)</w:t>
      </w:r>
    </w:p>
    <w:p w:rsidR="008556FC" w:rsidRPr="00A62196" w:rsidRDefault="008556FC">
      <w:pPr>
        <w:rPr>
          <w:b/>
          <w:bCs/>
        </w:rPr>
      </w:pPr>
      <w:r w:rsidRPr="00A62196">
        <w:rPr>
          <w:b/>
          <w:bCs/>
        </w:rPr>
        <w:t>Course Instructor Biographical Statement:</w:t>
      </w:r>
    </w:p>
    <w:p w:rsidR="008556FC" w:rsidRDefault="008556FC">
      <w:r>
        <w:t xml:space="preserve">Dr. </w:t>
      </w:r>
      <w:proofErr w:type="spellStart"/>
      <w:r>
        <w:t>Courneya</w:t>
      </w:r>
      <w:proofErr w:type="spellEnd"/>
      <w:r>
        <w:t xml:space="preserve"> is an Associate professor in the Department of Cellular and Physiological Sciences in the Faculty of Medicine.  She has a 33</w:t>
      </w:r>
      <w:r w:rsidR="00A62196">
        <w:t>-</w:t>
      </w:r>
      <w:r>
        <w:t>year history of teaching and research at UBC. Her academic training was in Cardiovascular Physiology and her research interest is medical education.</w:t>
      </w:r>
    </w:p>
    <w:p w:rsidR="00A62196" w:rsidRPr="00A62196" w:rsidRDefault="00A62196">
      <w:pPr>
        <w:rPr>
          <w:b/>
          <w:bCs/>
        </w:rPr>
      </w:pPr>
    </w:p>
    <w:p w:rsidR="00A62196" w:rsidRPr="00A62196" w:rsidRDefault="00A62196">
      <w:pPr>
        <w:rPr>
          <w:b/>
          <w:bCs/>
        </w:rPr>
      </w:pPr>
      <w:r w:rsidRPr="00A62196">
        <w:rPr>
          <w:b/>
          <w:bCs/>
        </w:rPr>
        <w:t>Module Co-Authors:</w:t>
      </w:r>
    </w:p>
    <w:p w:rsidR="00A62196" w:rsidRDefault="00A62196">
      <w:r>
        <w:t xml:space="preserve">Dr. Majid </w:t>
      </w:r>
      <w:proofErr w:type="spellStart"/>
      <w:r>
        <w:t>Alimohhammidi</w:t>
      </w:r>
      <w:proofErr w:type="spellEnd"/>
    </w:p>
    <w:p w:rsidR="00A62196" w:rsidRDefault="00A62196">
      <w:r>
        <w:t>Dr. Christina Hull</w:t>
      </w:r>
    </w:p>
    <w:p w:rsidR="00A62196" w:rsidRDefault="00A62196">
      <w:r>
        <w:t>Dr. Pawel Kindler</w:t>
      </w:r>
    </w:p>
    <w:p w:rsidR="00A62196" w:rsidRDefault="00A62196">
      <w:r>
        <w:t xml:space="preserve">Dr. Tracy </w:t>
      </w:r>
      <w:proofErr w:type="spellStart"/>
      <w:r>
        <w:t>Kion</w:t>
      </w:r>
      <w:proofErr w:type="spellEnd"/>
    </w:p>
    <w:p w:rsidR="00A62196" w:rsidRDefault="00A62196">
      <w:r>
        <w:t>Dr. Barry Mason</w:t>
      </w:r>
    </w:p>
    <w:p w:rsidR="00A62196" w:rsidRDefault="00A62196">
      <w:r>
        <w:t>Dr. Chris West</w:t>
      </w:r>
    </w:p>
    <w:p w:rsidR="00A62196" w:rsidRDefault="00A62196"/>
    <w:p w:rsidR="00E25DA8" w:rsidRDefault="00E25DA8">
      <w:pPr>
        <w:rPr>
          <w:b/>
          <w:bCs/>
        </w:rPr>
      </w:pPr>
    </w:p>
    <w:p w:rsidR="00A62196" w:rsidRPr="00A62196" w:rsidRDefault="00A62196">
      <w:pPr>
        <w:rPr>
          <w:b/>
          <w:bCs/>
        </w:rPr>
      </w:pPr>
      <w:r w:rsidRPr="00A62196">
        <w:rPr>
          <w:b/>
          <w:bCs/>
        </w:rPr>
        <w:lastRenderedPageBreak/>
        <w:t>Teaching Assistant:</w:t>
      </w:r>
    </w:p>
    <w:p w:rsidR="00A62196" w:rsidRDefault="00193836">
      <w:r>
        <w:t xml:space="preserve">Courtney </w:t>
      </w:r>
      <w:proofErr w:type="spellStart"/>
      <w:r>
        <w:t>Ostromecki</w:t>
      </w:r>
      <w:proofErr w:type="spellEnd"/>
    </w:p>
    <w:p w:rsidR="00A62196" w:rsidRDefault="00A62196"/>
    <w:p w:rsidR="00A62196" w:rsidRPr="00A62196" w:rsidRDefault="00A62196">
      <w:pPr>
        <w:rPr>
          <w:b/>
          <w:bCs/>
        </w:rPr>
      </w:pPr>
      <w:r w:rsidRPr="00A62196">
        <w:rPr>
          <w:b/>
          <w:bCs/>
        </w:rPr>
        <w:t>Course Structure:</w:t>
      </w:r>
    </w:p>
    <w:p w:rsidR="00A62196" w:rsidRDefault="00A62196">
      <w:r>
        <w:t>This is an entirely online course.  Each week students are introduced to a new module that consists of:</w:t>
      </w:r>
    </w:p>
    <w:p w:rsidR="00A62196" w:rsidRDefault="00A62196">
      <w:r>
        <w:tab/>
      </w:r>
      <w:r w:rsidRPr="00FA0A71">
        <w:rPr>
          <w:b/>
          <w:bCs/>
        </w:rPr>
        <w:t xml:space="preserve">A </w:t>
      </w:r>
      <w:r w:rsidR="00FA0A71">
        <w:rPr>
          <w:b/>
          <w:bCs/>
        </w:rPr>
        <w:t xml:space="preserve">written </w:t>
      </w:r>
      <w:r w:rsidRPr="00FA0A71">
        <w:rPr>
          <w:b/>
          <w:bCs/>
        </w:rPr>
        <w:t>Scenario</w:t>
      </w:r>
      <w:r>
        <w:t xml:space="preserve"> that describes a person with a specific health issue and/or a specific disease diagnosis.</w:t>
      </w:r>
      <w:r w:rsidR="00FA0A71">
        <w:t xml:space="preserve"> The student is prompted to research some aspect of that health issue or diagnosis that could include understanding the symptoms, course of the disease, treatment(s) or future impact.</w:t>
      </w:r>
    </w:p>
    <w:p w:rsidR="00FA0A71" w:rsidRDefault="00FA0A71">
      <w:r>
        <w:tab/>
      </w:r>
      <w:r w:rsidRPr="00FA0A71">
        <w:rPr>
          <w:b/>
          <w:bCs/>
        </w:rPr>
        <w:t>A list of vocabulary</w:t>
      </w:r>
      <w:r>
        <w:t xml:space="preserve"> relevant to the health issue or disease described in the scenario</w:t>
      </w:r>
    </w:p>
    <w:p w:rsidR="00FA0A71" w:rsidRDefault="00FA0A71">
      <w:r>
        <w:tab/>
      </w:r>
      <w:r w:rsidRPr="00FA0A71">
        <w:rPr>
          <w:b/>
          <w:bCs/>
        </w:rPr>
        <w:t>Supporting information on Canvas</w:t>
      </w:r>
      <w:r>
        <w:t xml:space="preserve"> to help the student understand physiology or anatomy relevant to the health issue.</w:t>
      </w:r>
    </w:p>
    <w:p w:rsidR="00FA0A71" w:rsidRDefault="00FA0A71">
      <w:r>
        <w:tab/>
      </w:r>
      <w:r w:rsidRPr="00FA0A71">
        <w:rPr>
          <w:b/>
          <w:bCs/>
        </w:rPr>
        <w:t>A “starter list”</w:t>
      </w:r>
      <w:r>
        <w:t xml:space="preserve"> of two trusted, online links to get further information</w:t>
      </w:r>
    </w:p>
    <w:p w:rsidR="00FA0A71" w:rsidRDefault="00FA0A71">
      <w:r>
        <w:t>Module-specific Assignments:</w:t>
      </w:r>
    </w:p>
    <w:p w:rsidR="00E25DA8" w:rsidRDefault="00E25DA8"/>
    <w:p w:rsidR="005E7DD4" w:rsidRDefault="00FA0A71">
      <w:r>
        <w:t xml:space="preserve">To complete the </w:t>
      </w:r>
      <w:r w:rsidR="00E25DA8" w:rsidRPr="00E25DA8">
        <w:rPr>
          <w:b/>
          <w:bCs/>
        </w:rPr>
        <w:t>Module A</w:t>
      </w:r>
      <w:r w:rsidRPr="00E25DA8">
        <w:rPr>
          <w:b/>
          <w:bCs/>
        </w:rPr>
        <w:t>ssignment</w:t>
      </w:r>
      <w:r>
        <w:t xml:space="preserve"> </w:t>
      </w:r>
      <w:r w:rsidR="00E25DA8">
        <w:t xml:space="preserve">(see Figure 1) </w:t>
      </w:r>
      <w:r>
        <w:t xml:space="preserve">students are expected to </w:t>
      </w:r>
      <w:r w:rsidR="00150216">
        <w:t xml:space="preserve">generate a </w:t>
      </w:r>
      <w:r w:rsidR="00856358">
        <w:t>one</w:t>
      </w:r>
      <w:r w:rsidR="00AC702A">
        <w:t>-</w:t>
      </w:r>
      <w:r w:rsidR="00856358">
        <w:t xml:space="preserve">page </w:t>
      </w:r>
      <w:r w:rsidR="00193836">
        <w:t xml:space="preserve">Generative AI (e.g. </w:t>
      </w:r>
      <w:proofErr w:type="spellStart"/>
      <w:proofErr w:type="gramStart"/>
      <w:r w:rsidR="00193836">
        <w:t>ChatGPT</w:t>
      </w:r>
      <w:proofErr w:type="spellEnd"/>
      <w:r w:rsidR="00193836">
        <w:t xml:space="preserve">) </w:t>
      </w:r>
      <w:r>
        <w:t xml:space="preserve"> </w:t>
      </w:r>
      <w:r w:rsidR="00150216">
        <w:t>document</w:t>
      </w:r>
      <w:proofErr w:type="gramEnd"/>
      <w:r w:rsidR="00856358">
        <w:t xml:space="preserve"> </w:t>
      </w:r>
      <w:r w:rsidR="00AC702A">
        <w:t xml:space="preserve">(written in lay-language) </w:t>
      </w:r>
      <w:r w:rsidR="00856358">
        <w:t>that addresses the</w:t>
      </w:r>
      <w:r>
        <w:t xml:space="preserve"> req</w:t>
      </w:r>
      <w:r w:rsidR="00150216">
        <w:t>u</w:t>
      </w:r>
      <w:r>
        <w:t xml:space="preserve">est for information as described in </w:t>
      </w:r>
      <w:r w:rsidR="00150216">
        <w:t>each</w:t>
      </w:r>
      <w:r>
        <w:t xml:space="preserve"> Scenario.  </w:t>
      </w:r>
      <w:r w:rsidR="00150216">
        <w:t xml:space="preserve">Students then use the Supporting Information on Canvas as well as information gathered at the starter links and at least two additional links to generate a </w:t>
      </w:r>
      <w:r w:rsidR="00150216" w:rsidRPr="00150216">
        <w:rPr>
          <w:b/>
          <w:bCs/>
        </w:rPr>
        <w:t>Scenario Specific Written Assignment</w:t>
      </w:r>
      <w:r w:rsidR="00150216">
        <w:t xml:space="preserve">: this constitutes a written description </w:t>
      </w:r>
      <w:r w:rsidR="00856358">
        <w:t>(an original written by the student)</w:t>
      </w:r>
      <w:r w:rsidR="005E7DD4">
        <w:t xml:space="preserve"> that includes:</w:t>
      </w:r>
      <w:r w:rsidR="00856358">
        <w:t xml:space="preserve"> </w:t>
      </w:r>
    </w:p>
    <w:p w:rsidR="005E7DD4" w:rsidRDefault="005E7DD4" w:rsidP="00911DF1">
      <w:pPr>
        <w:pStyle w:val="ListParagraph"/>
        <w:numPr>
          <w:ilvl w:val="0"/>
          <w:numId w:val="1"/>
        </w:numPr>
      </w:pPr>
      <w:r>
        <w:t>t</w:t>
      </w:r>
      <w:r w:rsidR="00150216">
        <w:t xml:space="preserve">he request for information </w:t>
      </w:r>
      <w:r>
        <w:t>requested</w:t>
      </w:r>
      <w:r w:rsidR="00150216">
        <w:t xml:space="preserve"> in the Scenario </w:t>
      </w:r>
      <w:r>
        <w:t>including acknowledgements of where information was obtained.</w:t>
      </w:r>
    </w:p>
    <w:p w:rsidR="005E7DD4" w:rsidRDefault="005E7DD4" w:rsidP="00911DF1">
      <w:pPr>
        <w:pStyle w:val="ListParagraph"/>
        <w:numPr>
          <w:ilvl w:val="0"/>
          <w:numId w:val="1"/>
        </w:numPr>
      </w:pPr>
      <w:r>
        <w:t xml:space="preserve">A list of at least </w:t>
      </w:r>
      <w:r w:rsidRPr="005E7DD4">
        <w:rPr>
          <w:u w:val="single"/>
        </w:rPr>
        <w:t>two additional online links</w:t>
      </w:r>
      <w:r>
        <w:t xml:space="preserve"> (beyond starter links) visited to obtain information </w:t>
      </w:r>
    </w:p>
    <w:p w:rsidR="005E7DD4" w:rsidRDefault="00150216" w:rsidP="00911DF1">
      <w:pPr>
        <w:pStyle w:val="ListParagraph"/>
        <w:numPr>
          <w:ilvl w:val="0"/>
          <w:numId w:val="1"/>
        </w:numPr>
      </w:pPr>
      <w:r>
        <w:t xml:space="preserve">a thoughtful critique of what was initially generated by their </w:t>
      </w:r>
      <w:r w:rsidR="00193836">
        <w:t>Generative AI</w:t>
      </w:r>
      <w:r>
        <w:t xml:space="preserve"> document </w:t>
      </w:r>
    </w:p>
    <w:p w:rsidR="005E7DD4" w:rsidRDefault="00150216" w:rsidP="005E7DD4">
      <w:pPr>
        <w:pStyle w:val="ListParagraph"/>
        <w:numPr>
          <w:ilvl w:val="0"/>
          <w:numId w:val="1"/>
        </w:numPr>
      </w:pPr>
      <w:r w:rsidRPr="005E7DD4">
        <w:rPr>
          <w:b/>
          <w:bCs/>
        </w:rPr>
        <w:t xml:space="preserve">AND incorporates the scenario specific vocabulary terms included for that </w:t>
      </w:r>
      <w:r w:rsidR="005E7DD4" w:rsidRPr="005E7DD4">
        <w:rPr>
          <w:b/>
          <w:bCs/>
        </w:rPr>
        <w:t>scenario</w:t>
      </w:r>
      <w:r>
        <w:t xml:space="preserve">. </w:t>
      </w:r>
    </w:p>
    <w:p w:rsidR="00A62196" w:rsidRDefault="008D6054" w:rsidP="005E7DD4">
      <w:r>
        <w:t xml:space="preserve">This document can include up to two figures (with acknowledgement as to source of figures), and </w:t>
      </w:r>
      <w:r w:rsidRPr="00193836">
        <w:rPr>
          <w:u w:val="single"/>
        </w:rPr>
        <w:t>should not</w:t>
      </w:r>
      <w:r>
        <w:t xml:space="preserve"> exceed </w:t>
      </w:r>
      <w:r w:rsidR="00193836">
        <w:t>two</w:t>
      </w:r>
      <w:r>
        <w:t xml:space="preserve"> </w:t>
      </w:r>
      <w:r w:rsidR="00193836">
        <w:t>single</w:t>
      </w:r>
      <w:r>
        <w:t>-spaced, typed pages in length.</w:t>
      </w:r>
    </w:p>
    <w:p w:rsidR="00532A60" w:rsidRDefault="00532A60"/>
    <w:p w:rsidR="00E25DA8" w:rsidRPr="00CA5848" w:rsidRDefault="00193836">
      <w:pPr>
        <w:rPr>
          <w:b/>
          <w:bCs/>
        </w:rPr>
      </w:pPr>
      <w:r>
        <w:rPr>
          <w:noProof/>
        </w:rPr>
        <w:lastRenderedPageBreak/>
        <w:drawing>
          <wp:inline distT="0" distB="0" distL="0" distR="0">
            <wp:extent cx="5943175" cy="2040556"/>
            <wp:effectExtent l="0" t="0" r="635" b="4445"/>
            <wp:docPr id="144753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538428" name="Picture 1447538428"/>
                    <pic:cNvPicPr/>
                  </pic:nvPicPr>
                  <pic:blipFill rotWithShape="1">
                    <a:blip r:embed="rId6">
                      <a:extLst>
                        <a:ext uri="{28A0092B-C50C-407E-A947-70E740481C1C}">
                          <a14:useLocalDpi xmlns:a14="http://schemas.microsoft.com/office/drawing/2010/main" val="0"/>
                        </a:ext>
                      </a:extLst>
                    </a:blip>
                    <a:srcRect t="15835" b="23126"/>
                    <a:stretch/>
                  </pic:blipFill>
                  <pic:spPr bwMode="auto">
                    <a:xfrm>
                      <a:off x="0" y="0"/>
                      <a:ext cx="5943600" cy="2040702"/>
                    </a:xfrm>
                    <a:prstGeom prst="rect">
                      <a:avLst/>
                    </a:prstGeom>
                    <a:ln>
                      <a:noFill/>
                    </a:ln>
                    <a:extLst>
                      <a:ext uri="{53640926-AAD7-44D8-BBD7-CCE9431645EC}">
                        <a14:shadowObscured xmlns:a14="http://schemas.microsoft.com/office/drawing/2010/main"/>
                      </a:ext>
                    </a:extLst>
                  </pic:spPr>
                </pic:pic>
              </a:graphicData>
            </a:graphic>
          </wp:inline>
        </w:drawing>
      </w:r>
      <w:r w:rsidR="00E25DA8" w:rsidRPr="00CA5848">
        <w:rPr>
          <w:b/>
          <w:bCs/>
        </w:rPr>
        <w:t>Figure 1: Module Assignment Graphic</w:t>
      </w:r>
    </w:p>
    <w:p w:rsidR="00E25DA8" w:rsidRDefault="00E25DA8"/>
    <w:p w:rsidR="00150216" w:rsidRDefault="00150216"/>
    <w:p w:rsidR="00A62196" w:rsidRDefault="00A62196">
      <w:r>
        <w:t xml:space="preserve">Modules are arranged in a specific order on the Canvas page and the anticipated timing is for students to </w:t>
      </w:r>
      <w:r w:rsidRPr="00AD11B2">
        <w:rPr>
          <w:highlight w:val="yellow"/>
        </w:rPr>
        <w:t xml:space="preserve">complete 1 </w:t>
      </w:r>
      <w:r w:rsidR="00E25DA8" w:rsidRPr="00AD11B2">
        <w:rPr>
          <w:highlight w:val="yellow"/>
        </w:rPr>
        <w:t xml:space="preserve">module </w:t>
      </w:r>
      <w:r w:rsidRPr="00AD11B2">
        <w:rPr>
          <w:highlight w:val="yellow"/>
        </w:rPr>
        <w:t>assignment per week</w:t>
      </w:r>
      <w:r>
        <w:t xml:space="preserve">.  The exception is </w:t>
      </w:r>
      <w:r w:rsidRPr="00A62196">
        <w:rPr>
          <w:u w:val="single"/>
        </w:rPr>
        <w:t>the first two modules</w:t>
      </w:r>
      <w:r>
        <w:t xml:space="preserve"> are allowed 2 weeks for submission of assignment</w:t>
      </w:r>
      <w:r w:rsidR="00E25DA8">
        <w:t xml:space="preserve"> (see Canvas page).  </w:t>
      </w:r>
      <w:r>
        <w:t xml:space="preserve"> </w:t>
      </w:r>
    </w:p>
    <w:p w:rsidR="00A62196" w:rsidRDefault="00193836">
      <w:r>
        <w:t>Order</w:t>
      </w:r>
      <w:r w:rsidR="00A62196">
        <w:t xml:space="preserve"> of Topics:</w:t>
      </w:r>
    </w:p>
    <w:p w:rsidR="00A62196" w:rsidRDefault="00A62196"/>
    <w:p w:rsidR="00A62196" w:rsidRPr="00CA5848" w:rsidRDefault="00A62196">
      <w:pPr>
        <w:rPr>
          <w:b/>
          <w:bCs/>
        </w:rPr>
      </w:pPr>
      <w:r w:rsidRPr="00CA5848">
        <w:rPr>
          <w:b/>
          <w:bCs/>
        </w:rPr>
        <w:t>Course Modules:</w:t>
      </w:r>
    </w:p>
    <w:p w:rsidR="00E25DA8" w:rsidRDefault="00E25DA8"/>
    <w:p w:rsidR="00E25DA8" w:rsidRDefault="00E25DA8">
      <w:r>
        <w:t>Module 1 Cardiovascular</w:t>
      </w:r>
      <w:r w:rsidR="00AD11B2">
        <w:t xml:space="preserve"> (2 weeks)</w:t>
      </w:r>
    </w:p>
    <w:p w:rsidR="00E25DA8" w:rsidRDefault="00E25DA8">
      <w:r>
        <w:t xml:space="preserve">Module 2 </w:t>
      </w:r>
      <w:r w:rsidR="00677D42">
        <w:t>Renal</w:t>
      </w:r>
      <w:r w:rsidR="00AD11B2">
        <w:t xml:space="preserve"> (2 weeks)</w:t>
      </w:r>
    </w:p>
    <w:p w:rsidR="00677D42" w:rsidRDefault="00677D42">
      <w:r>
        <w:t>Module 3 Endocrin</w:t>
      </w:r>
      <w:r w:rsidR="000C3B3E">
        <w:t>e</w:t>
      </w:r>
    </w:p>
    <w:p w:rsidR="00677D42" w:rsidRDefault="00677D42">
      <w:r>
        <w:t>Module 4 Immune System</w:t>
      </w:r>
    </w:p>
    <w:p w:rsidR="00677D42" w:rsidRDefault="00677D42">
      <w:r>
        <w:t>Module 5 Gastro-intestinal</w:t>
      </w:r>
    </w:p>
    <w:p w:rsidR="00677D42" w:rsidRDefault="00677D42">
      <w:r>
        <w:t>Module 6 Respiratory</w:t>
      </w:r>
    </w:p>
    <w:p w:rsidR="00677D42" w:rsidRDefault="00677D42">
      <w:r>
        <w:t>Module 7 Reproduction</w:t>
      </w:r>
    </w:p>
    <w:p w:rsidR="00677D42" w:rsidRDefault="00677D42">
      <w:r>
        <w:t>Module 8 The Senses</w:t>
      </w:r>
    </w:p>
    <w:p w:rsidR="00677D42" w:rsidRDefault="00677D42"/>
    <w:p w:rsidR="00677D42" w:rsidRPr="00CA5848" w:rsidRDefault="00B5678F">
      <w:pPr>
        <w:rPr>
          <w:b/>
          <w:bCs/>
        </w:rPr>
      </w:pPr>
      <w:r w:rsidRPr="00CA5848">
        <w:rPr>
          <w:b/>
          <w:bCs/>
        </w:rPr>
        <w:t>Overarching Learning Objectives</w:t>
      </w:r>
    </w:p>
    <w:p w:rsidR="00B5678F" w:rsidRPr="00B5678F" w:rsidRDefault="00B5678F" w:rsidP="00B5678F">
      <w:pPr>
        <w:spacing w:before="180" w:after="180"/>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At the end of the course, students will be able to </w:t>
      </w:r>
      <w:r w:rsidRPr="00B5678F">
        <w:rPr>
          <w:rFonts w:ascii="Lato" w:eastAsia="Times New Roman" w:hAnsi="Lato" w:cs="Times New Roman"/>
          <w:b/>
          <w:bCs/>
          <w:color w:val="2D3B45"/>
          <w:kern w:val="0"/>
          <w14:ligatures w14:val="none"/>
        </w:rPr>
        <w:t>research</w:t>
      </w:r>
      <w:r w:rsidRPr="00B5678F">
        <w:rPr>
          <w:rFonts w:ascii="Lato" w:eastAsia="Times New Roman" w:hAnsi="Lato" w:cs="Times New Roman"/>
          <w:color w:val="2D3B45"/>
          <w:kern w:val="0"/>
          <w14:ligatures w14:val="none"/>
        </w:rPr>
        <w:t> and </w:t>
      </w:r>
      <w:r w:rsidRPr="00B5678F">
        <w:rPr>
          <w:rFonts w:ascii="Lato" w:eastAsia="Times New Roman" w:hAnsi="Lato" w:cs="Times New Roman"/>
          <w:b/>
          <w:bCs/>
          <w:color w:val="2D3B45"/>
          <w:kern w:val="0"/>
          <w14:ligatures w14:val="none"/>
        </w:rPr>
        <w:t>explain</w:t>
      </w:r>
      <w:r w:rsidRPr="00B5678F">
        <w:rPr>
          <w:rFonts w:ascii="Lato" w:eastAsia="Times New Roman" w:hAnsi="Lato" w:cs="Times New Roman"/>
          <w:color w:val="2D3B45"/>
          <w:kern w:val="0"/>
          <w14:ligatures w14:val="none"/>
        </w:rPr>
        <w:t>:</w:t>
      </w:r>
    </w:p>
    <w:p w:rsidR="00B5678F" w:rsidRPr="00B5678F" w:rsidRDefault="00B5678F" w:rsidP="00B5678F">
      <w:pPr>
        <w:numPr>
          <w:ilvl w:val="0"/>
          <w:numId w:val="2"/>
        </w:numPr>
        <w:spacing w:before="100" w:beforeAutospacing="1" w:after="100" w:afterAutospacing="1"/>
        <w:ind w:left="1095"/>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the anatomy (structure) and physiology (functions) of eight major systems that are relevant to the scenarios discussed in each module</w:t>
      </w:r>
    </w:p>
    <w:p w:rsidR="00B5678F" w:rsidRPr="00B5678F" w:rsidRDefault="00B5678F" w:rsidP="00B5678F">
      <w:pPr>
        <w:numPr>
          <w:ilvl w:val="0"/>
          <w:numId w:val="2"/>
        </w:numPr>
        <w:spacing w:before="100" w:beforeAutospacing="1" w:after="100" w:afterAutospacing="1"/>
        <w:ind w:left="1095"/>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relevant mechanisms by which each of the eight systems carries out its role</w:t>
      </w:r>
    </w:p>
    <w:p w:rsidR="00B5678F" w:rsidRPr="00B5678F" w:rsidRDefault="00B5678F" w:rsidP="00B5678F">
      <w:pPr>
        <w:numPr>
          <w:ilvl w:val="0"/>
          <w:numId w:val="2"/>
        </w:numPr>
        <w:spacing w:before="100" w:beforeAutospacing="1" w:after="100" w:afterAutospacing="1"/>
        <w:ind w:left="1095"/>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the consequence of disruption of some of these processes that result in the health issues discussed in the scenarios</w:t>
      </w:r>
    </w:p>
    <w:p w:rsidR="00B5678F" w:rsidRPr="00B5678F" w:rsidRDefault="00B5678F" w:rsidP="00B5678F">
      <w:pPr>
        <w:numPr>
          <w:ilvl w:val="0"/>
          <w:numId w:val="2"/>
        </w:numPr>
        <w:spacing w:before="100" w:beforeAutospacing="1" w:after="100" w:afterAutospacing="1"/>
        <w:ind w:left="1095"/>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each of the diagnoses discussed in the course using language appropriate for an educated lay audience</w:t>
      </w:r>
    </w:p>
    <w:p w:rsidR="00B5678F" w:rsidRDefault="00B5678F" w:rsidP="00B5678F">
      <w:pPr>
        <w:numPr>
          <w:ilvl w:val="0"/>
          <w:numId w:val="2"/>
        </w:numPr>
        <w:spacing w:before="100" w:beforeAutospacing="1" w:after="100" w:afterAutospacing="1"/>
        <w:ind w:left="1095"/>
        <w:rPr>
          <w:rFonts w:ascii="Lato" w:eastAsia="Times New Roman" w:hAnsi="Lato" w:cs="Times New Roman"/>
          <w:color w:val="2D3B45"/>
          <w:kern w:val="0"/>
          <w14:ligatures w14:val="none"/>
        </w:rPr>
      </w:pPr>
      <w:r w:rsidRPr="00B5678F">
        <w:rPr>
          <w:rFonts w:ascii="Lato" w:eastAsia="Times New Roman" w:hAnsi="Lato" w:cs="Times New Roman"/>
          <w:color w:val="2D3B45"/>
          <w:kern w:val="0"/>
          <w14:ligatures w14:val="none"/>
        </w:rPr>
        <w:t xml:space="preserve">the advantages and disadvantages of </w:t>
      </w:r>
      <w:r w:rsidR="00193836">
        <w:rPr>
          <w:rFonts w:ascii="Lato" w:eastAsia="Times New Roman" w:hAnsi="Lato" w:cs="Times New Roman"/>
          <w:color w:val="2D3B45"/>
          <w:kern w:val="0"/>
          <w14:ligatures w14:val="none"/>
        </w:rPr>
        <w:t xml:space="preserve">Generative AI </w:t>
      </w:r>
      <w:r w:rsidRPr="00B5678F">
        <w:rPr>
          <w:rFonts w:ascii="Lato" w:eastAsia="Times New Roman" w:hAnsi="Lato" w:cs="Times New Roman"/>
          <w:color w:val="2D3B45"/>
          <w:kern w:val="0"/>
          <w14:ligatures w14:val="none"/>
        </w:rPr>
        <w:t>when researching medical diagnoses</w:t>
      </w:r>
    </w:p>
    <w:p w:rsidR="00B5678F" w:rsidRPr="00B04888" w:rsidRDefault="00B04888" w:rsidP="00B5678F">
      <w:pPr>
        <w:spacing w:before="100" w:beforeAutospacing="1" w:after="100" w:afterAutospacing="1"/>
        <w:rPr>
          <w:rFonts w:ascii="Lato" w:eastAsia="Times New Roman" w:hAnsi="Lato" w:cs="Times New Roman"/>
          <w:b/>
          <w:bCs/>
          <w:color w:val="2D3B45"/>
          <w:kern w:val="0"/>
          <w14:ligatures w14:val="none"/>
        </w:rPr>
      </w:pPr>
      <w:r w:rsidRPr="00B04888">
        <w:rPr>
          <w:rFonts w:ascii="Lato" w:eastAsia="Times New Roman" w:hAnsi="Lato" w:cs="Times New Roman"/>
          <w:b/>
          <w:bCs/>
          <w:color w:val="2D3B45"/>
          <w:kern w:val="0"/>
          <w14:ligatures w14:val="none"/>
        </w:rPr>
        <w:lastRenderedPageBreak/>
        <w:t>Learning Materials</w:t>
      </w:r>
    </w:p>
    <w:p w:rsidR="00B04888" w:rsidRDefault="00B04888" w:rsidP="00B5678F">
      <w:pPr>
        <w:spacing w:before="100" w:beforeAutospacing="1" w:after="100" w:afterAutospacing="1"/>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All learning materials can either be obtained in the Supporting Materials for each Scenario on Canvas or from online Websites.  There is no cost to obtaining any of the required materials.</w:t>
      </w:r>
    </w:p>
    <w:p w:rsidR="00B04888" w:rsidRDefault="00B04888" w:rsidP="00B5678F">
      <w:pPr>
        <w:spacing w:before="100" w:beforeAutospacing="1" w:after="100" w:afterAutospacing="1"/>
        <w:rPr>
          <w:rFonts w:ascii="Lato" w:eastAsia="Times New Roman" w:hAnsi="Lato" w:cs="Times New Roman"/>
          <w:color w:val="2D3B45"/>
          <w:kern w:val="0"/>
          <w14:ligatures w14:val="none"/>
        </w:rPr>
      </w:pPr>
    </w:p>
    <w:p w:rsidR="00411CEB" w:rsidRPr="00CA5848" w:rsidRDefault="00B04888" w:rsidP="00B5678F">
      <w:pPr>
        <w:spacing w:before="100" w:beforeAutospacing="1" w:after="100" w:afterAutospacing="1"/>
        <w:rPr>
          <w:rFonts w:ascii="Lato" w:eastAsia="Times New Roman" w:hAnsi="Lato" w:cs="Times New Roman"/>
          <w:b/>
          <w:bCs/>
          <w:color w:val="2D3B45"/>
          <w:kern w:val="0"/>
          <w14:ligatures w14:val="none"/>
        </w:rPr>
      </w:pPr>
      <w:r w:rsidRPr="00B04888">
        <w:rPr>
          <w:rFonts w:ascii="Lato" w:eastAsia="Times New Roman" w:hAnsi="Lato" w:cs="Times New Roman"/>
          <w:b/>
          <w:bCs/>
          <w:color w:val="2D3B45"/>
          <w:kern w:val="0"/>
          <w14:ligatures w14:val="none"/>
        </w:rPr>
        <w:t>Assessment of learning</w:t>
      </w:r>
      <w:r w:rsidR="00CA5848">
        <w:rPr>
          <w:rFonts w:ascii="Lato" w:eastAsia="Times New Roman" w:hAnsi="Lato" w:cs="Times New Roman"/>
          <w:b/>
          <w:bCs/>
          <w:color w:val="2D3B45"/>
          <w:kern w:val="0"/>
          <w14:ligatures w14:val="none"/>
        </w:rPr>
        <w:t xml:space="preserve">:    </w:t>
      </w:r>
      <w:r w:rsidR="00411CEB" w:rsidRPr="00411CEB">
        <w:rPr>
          <w:rFonts w:ascii="Lato" w:eastAsia="Times New Roman" w:hAnsi="Lato" w:cs="Times New Roman"/>
          <w:color w:val="2D3B45"/>
          <w:kern w:val="0"/>
          <w14:ligatures w14:val="none"/>
        </w:rPr>
        <w:t>Each Module Assignment</w:t>
      </w:r>
      <w:r w:rsidR="00411CEB">
        <w:rPr>
          <w:rFonts w:ascii="Lato" w:eastAsia="Times New Roman" w:hAnsi="Lato" w:cs="Times New Roman"/>
          <w:color w:val="2D3B45"/>
          <w:kern w:val="0"/>
          <w14:ligatures w14:val="none"/>
        </w:rPr>
        <w:t xml:space="preserve"> is worth 10% of the final grade.   [8 modules X 10 % = 80% of final grade)</w:t>
      </w:r>
    </w:p>
    <w:p w:rsidR="000C4CF1" w:rsidRDefault="00411CEB" w:rsidP="00B5678F">
      <w:pPr>
        <w:spacing w:before="100" w:beforeAutospacing="1" w:after="100" w:afterAutospacing="1"/>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 xml:space="preserve">Final online Assignment (in lieu of a final exam) will consist of </w:t>
      </w:r>
      <w:r w:rsidR="00AD11B2" w:rsidRPr="00AD11B2">
        <w:rPr>
          <w:rFonts w:ascii="Lato" w:eastAsia="Times New Roman" w:hAnsi="Lato" w:cs="Times New Roman"/>
          <w:b/>
          <w:bCs/>
          <w:color w:val="2D3B45"/>
          <w:kern w:val="0"/>
          <w14:ligatures w14:val="none"/>
        </w:rPr>
        <w:t>2</w:t>
      </w:r>
      <w:r>
        <w:rPr>
          <w:rFonts w:ascii="Lato" w:eastAsia="Times New Roman" w:hAnsi="Lato" w:cs="Times New Roman"/>
          <w:color w:val="2D3B45"/>
          <w:kern w:val="0"/>
          <w14:ligatures w14:val="none"/>
        </w:rPr>
        <w:t xml:space="preserve"> </w:t>
      </w:r>
      <w:r w:rsidRPr="000C4CF1">
        <w:rPr>
          <w:rFonts w:ascii="Lato" w:eastAsia="Times New Roman" w:hAnsi="Lato" w:cs="Times New Roman"/>
          <w:b/>
          <w:bCs/>
          <w:color w:val="2D3B45"/>
          <w:kern w:val="0"/>
          <w14:ligatures w14:val="none"/>
        </w:rPr>
        <w:t>novel</w:t>
      </w:r>
      <w:r>
        <w:rPr>
          <w:rFonts w:ascii="Lato" w:eastAsia="Times New Roman" w:hAnsi="Lato" w:cs="Times New Roman"/>
          <w:color w:val="2D3B45"/>
          <w:kern w:val="0"/>
          <w14:ligatures w14:val="none"/>
        </w:rPr>
        <w:t xml:space="preserve"> “Scenarios” that could come from any of the previous module topics covered in the course.  Students will complete </w:t>
      </w:r>
      <w:r w:rsidR="00AD11B2">
        <w:rPr>
          <w:rFonts w:ascii="Lato" w:eastAsia="Times New Roman" w:hAnsi="Lato" w:cs="Times New Roman"/>
          <w:color w:val="2D3B45"/>
          <w:kern w:val="0"/>
          <w14:ligatures w14:val="none"/>
        </w:rPr>
        <w:t>2</w:t>
      </w:r>
      <w:r>
        <w:rPr>
          <w:rFonts w:ascii="Lato" w:eastAsia="Times New Roman" w:hAnsi="Lato" w:cs="Times New Roman"/>
          <w:color w:val="2D3B45"/>
          <w:kern w:val="0"/>
          <w14:ligatures w14:val="none"/>
        </w:rPr>
        <w:t xml:space="preserve"> written assignments (using the same process as for the </w:t>
      </w:r>
      <w:r w:rsidR="00B34661">
        <w:rPr>
          <w:rFonts w:ascii="Lato" w:eastAsia="Times New Roman" w:hAnsi="Lato" w:cs="Times New Roman"/>
          <w:color w:val="2D3B45"/>
          <w:kern w:val="0"/>
          <w14:ligatures w14:val="none"/>
        </w:rPr>
        <w:t xml:space="preserve">in-course modules).  For the Final Assignment </w:t>
      </w:r>
      <w:r w:rsidR="000C4CF1" w:rsidRPr="000C4CF1">
        <w:rPr>
          <w:rFonts w:ascii="Lato" w:eastAsia="Times New Roman" w:hAnsi="Lato" w:cs="Times New Roman"/>
          <w:b/>
          <w:bCs/>
          <w:color w:val="2D3B45"/>
          <w:kern w:val="0"/>
          <w14:ligatures w14:val="none"/>
        </w:rPr>
        <w:t xml:space="preserve">the </w:t>
      </w:r>
      <w:r w:rsidR="00B34661" w:rsidRPr="000C4CF1">
        <w:rPr>
          <w:rFonts w:ascii="Lato" w:eastAsia="Times New Roman" w:hAnsi="Lato" w:cs="Times New Roman"/>
          <w:b/>
          <w:bCs/>
          <w:color w:val="2D3B45"/>
          <w:kern w:val="0"/>
          <w14:ligatures w14:val="none"/>
        </w:rPr>
        <w:t xml:space="preserve">length of each of the </w:t>
      </w:r>
      <w:r w:rsidR="00193836">
        <w:rPr>
          <w:rFonts w:ascii="Lato" w:eastAsia="Times New Roman" w:hAnsi="Lato" w:cs="Times New Roman"/>
          <w:b/>
          <w:bCs/>
          <w:color w:val="2D3B45"/>
          <w:kern w:val="0"/>
          <w14:ligatures w14:val="none"/>
        </w:rPr>
        <w:t>two</w:t>
      </w:r>
      <w:r w:rsidR="00B34661" w:rsidRPr="000C4CF1">
        <w:rPr>
          <w:rFonts w:ascii="Lato" w:eastAsia="Times New Roman" w:hAnsi="Lato" w:cs="Times New Roman"/>
          <w:b/>
          <w:bCs/>
          <w:color w:val="2D3B45"/>
          <w:kern w:val="0"/>
          <w14:ligatures w14:val="none"/>
        </w:rPr>
        <w:t xml:space="preserve"> </w:t>
      </w:r>
      <w:r w:rsidR="000C4CF1" w:rsidRPr="000C4CF1">
        <w:rPr>
          <w:rFonts w:ascii="Lato" w:eastAsia="Times New Roman" w:hAnsi="Lato" w:cs="Times New Roman"/>
          <w:b/>
          <w:bCs/>
          <w:color w:val="2D3B45"/>
          <w:kern w:val="0"/>
          <w14:ligatures w14:val="none"/>
        </w:rPr>
        <w:t xml:space="preserve">module-specific </w:t>
      </w:r>
      <w:r w:rsidR="00B34661" w:rsidRPr="000C4CF1">
        <w:rPr>
          <w:rFonts w:ascii="Lato" w:eastAsia="Times New Roman" w:hAnsi="Lato" w:cs="Times New Roman"/>
          <w:b/>
          <w:bCs/>
          <w:color w:val="2D3B45"/>
          <w:kern w:val="0"/>
          <w14:ligatures w14:val="none"/>
        </w:rPr>
        <w:t xml:space="preserve">written assignments will be </w:t>
      </w:r>
      <w:r w:rsidR="00CA5848">
        <w:rPr>
          <w:rFonts w:ascii="Lato" w:eastAsia="Times New Roman" w:hAnsi="Lato" w:cs="Times New Roman"/>
          <w:b/>
          <w:bCs/>
          <w:color w:val="2D3B45"/>
          <w:kern w:val="0"/>
          <w14:ligatures w14:val="none"/>
        </w:rPr>
        <w:t>3</w:t>
      </w:r>
      <w:r w:rsidR="00B34661" w:rsidRPr="000C4CF1">
        <w:rPr>
          <w:rFonts w:ascii="Lato" w:eastAsia="Times New Roman" w:hAnsi="Lato" w:cs="Times New Roman"/>
          <w:b/>
          <w:bCs/>
          <w:color w:val="2D3B45"/>
          <w:kern w:val="0"/>
          <w14:ligatures w14:val="none"/>
        </w:rPr>
        <w:t xml:space="preserve"> </w:t>
      </w:r>
      <w:r w:rsidR="00CA5848">
        <w:rPr>
          <w:rFonts w:ascii="Lato" w:eastAsia="Times New Roman" w:hAnsi="Lato" w:cs="Times New Roman"/>
          <w:b/>
          <w:bCs/>
          <w:color w:val="2D3B45"/>
          <w:kern w:val="0"/>
          <w14:ligatures w14:val="none"/>
        </w:rPr>
        <w:t xml:space="preserve">single spaced </w:t>
      </w:r>
      <w:r w:rsidR="00B34661" w:rsidRPr="000C4CF1">
        <w:rPr>
          <w:rFonts w:ascii="Lato" w:eastAsia="Times New Roman" w:hAnsi="Lato" w:cs="Times New Roman"/>
          <w:b/>
          <w:bCs/>
          <w:color w:val="2D3B45"/>
          <w:kern w:val="0"/>
          <w14:ligatures w14:val="none"/>
        </w:rPr>
        <w:t>pages (max</w:t>
      </w:r>
      <w:r w:rsidR="000C4CF1">
        <w:rPr>
          <w:rFonts w:ascii="Lato" w:eastAsia="Times New Roman" w:hAnsi="Lato" w:cs="Times New Roman"/>
          <w:b/>
          <w:bCs/>
          <w:color w:val="2D3B45"/>
          <w:kern w:val="0"/>
          <w14:ligatures w14:val="none"/>
        </w:rPr>
        <w:t>)</w:t>
      </w:r>
      <w:r w:rsidR="00CA5848">
        <w:rPr>
          <w:rFonts w:ascii="Lato" w:eastAsia="Times New Roman" w:hAnsi="Lato" w:cs="Times New Roman"/>
          <w:b/>
          <w:bCs/>
          <w:color w:val="2D3B45"/>
          <w:kern w:val="0"/>
          <w14:ligatures w14:val="none"/>
        </w:rPr>
        <w:t xml:space="preserve"> and include: </w:t>
      </w:r>
      <w:proofErr w:type="gramStart"/>
      <w:r w:rsidR="00CA5848">
        <w:rPr>
          <w:rFonts w:ascii="Lato" w:eastAsia="Times New Roman" w:hAnsi="Lato" w:cs="Times New Roman"/>
          <w:b/>
          <w:bCs/>
          <w:color w:val="2D3B45"/>
          <w:kern w:val="0"/>
          <w14:ligatures w14:val="none"/>
        </w:rPr>
        <w:t>1 page</w:t>
      </w:r>
      <w:proofErr w:type="gramEnd"/>
      <w:r w:rsidR="00CA5848">
        <w:rPr>
          <w:rFonts w:ascii="Lato" w:eastAsia="Times New Roman" w:hAnsi="Lato" w:cs="Times New Roman"/>
          <w:b/>
          <w:bCs/>
          <w:color w:val="2D3B45"/>
          <w:kern w:val="0"/>
          <w14:ligatures w14:val="none"/>
        </w:rPr>
        <w:t xml:space="preserve"> Generative AI report and 2 page written report</w:t>
      </w:r>
      <w:r w:rsidR="000C4CF1">
        <w:rPr>
          <w:rFonts w:ascii="Lato" w:eastAsia="Times New Roman" w:hAnsi="Lato" w:cs="Times New Roman"/>
          <w:b/>
          <w:bCs/>
          <w:color w:val="2D3B45"/>
          <w:kern w:val="0"/>
          <w14:ligatures w14:val="none"/>
        </w:rPr>
        <w:t xml:space="preserve">, and be worth 5% each of the total grade.  </w:t>
      </w:r>
    </w:p>
    <w:p w:rsidR="00B04888" w:rsidRDefault="00B34661" w:rsidP="00B5678F">
      <w:pPr>
        <w:spacing w:before="100" w:beforeAutospacing="1" w:after="100" w:afterAutospacing="1"/>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Late submissions of in-course Module Written Assignments will result in a loss of 2% of the assignment grade per day.</w:t>
      </w:r>
    </w:p>
    <w:p w:rsidR="00B34661" w:rsidRDefault="00B34661" w:rsidP="00B5678F">
      <w:pPr>
        <w:spacing w:before="100" w:beforeAutospacing="1" w:after="100" w:afterAutospacing="1"/>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 xml:space="preserve">Missed </w:t>
      </w:r>
      <w:r w:rsidR="000C4CF1">
        <w:rPr>
          <w:rFonts w:ascii="Lato" w:eastAsia="Times New Roman" w:hAnsi="Lato" w:cs="Times New Roman"/>
          <w:color w:val="2D3B45"/>
          <w:kern w:val="0"/>
          <w14:ligatures w14:val="none"/>
        </w:rPr>
        <w:t xml:space="preserve">in-course </w:t>
      </w:r>
      <w:r>
        <w:rPr>
          <w:rFonts w:ascii="Lato" w:eastAsia="Times New Roman" w:hAnsi="Lato" w:cs="Times New Roman"/>
          <w:color w:val="2D3B45"/>
          <w:kern w:val="0"/>
          <w14:ligatures w14:val="none"/>
        </w:rPr>
        <w:t>Written Assignments will result in loss of the 10% grade for each assignment not completed. There will be no make-up assignments offered.</w:t>
      </w:r>
    </w:p>
    <w:p w:rsidR="006D5923" w:rsidRPr="00CA5848" w:rsidRDefault="006D5923" w:rsidP="006D5923"/>
    <w:p w:rsidR="006D5923" w:rsidRPr="00CA5848" w:rsidRDefault="006D5923" w:rsidP="006D5923"/>
    <w:p w:rsidR="006D5923" w:rsidRDefault="006D5923" w:rsidP="006D5923">
      <w:r w:rsidRPr="00CA5848">
        <w:rPr>
          <w:b/>
          <w:bCs/>
        </w:rPr>
        <w:t>ACCOMODATION</w:t>
      </w:r>
      <w:r w:rsidR="00CA5848" w:rsidRPr="00CA5848">
        <w:rPr>
          <w:b/>
          <w:bCs/>
        </w:rPr>
        <w:t>S</w:t>
      </w:r>
      <w:r w:rsidR="00CA5848">
        <w:t xml:space="preserve">:  Please refer to the center for Accessibility:  </w:t>
      </w:r>
      <w:hyperlink r:id="rId7" w:history="1">
        <w:r w:rsidR="00CA5848" w:rsidRPr="009D7C07">
          <w:rPr>
            <w:rStyle w:val="Hyperlink"/>
          </w:rPr>
          <w:t>https://students.ubc.ca/about-student-services/centre-for-accessibility</w:t>
        </w:r>
      </w:hyperlink>
    </w:p>
    <w:p w:rsidR="00CA5848" w:rsidRDefault="00CA5848" w:rsidP="00B5678F">
      <w:pPr>
        <w:spacing w:before="100" w:beforeAutospacing="1" w:after="100" w:afterAutospacing="1"/>
      </w:pPr>
    </w:p>
    <w:p w:rsidR="00B34661" w:rsidRPr="00CA5848" w:rsidRDefault="005F3E64" w:rsidP="00B5678F">
      <w:pPr>
        <w:spacing w:before="100" w:beforeAutospacing="1" w:after="100" w:afterAutospacing="1"/>
        <w:rPr>
          <w:rFonts w:ascii="Lato" w:eastAsia="Times New Roman" w:hAnsi="Lato" w:cs="Times New Roman"/>
          <w:b/>
          <w:bCs/>
          <w:color w:val="2D3B45"/>
          <w:kern w:val="0"/>
          <w14:ligatures w14:val="none"/>
        </w:rPr>
      </w:pPr>
      <w:r w:rsidRPr="00CA5848">
        <w:rPr>
          <w:rFonts w:ascii="Lato" w:eastAsia="Times New Roman" w:hAnsi="Lato" w:cs="Times New Roman"/>
          <w:b/>
          <w:bCs/>
          <w:color w:val="2D3B45"/>
          <w:kern w:val="0"/>
          <w14:ligatures w14:val="none"/>
        </w:rPr>
        <w:t>University Policy</w:t>
      </w:r>
    </w:p>
    <w:p w:rsidR="005F3E64" w:rsidRDefault="005F3E64" w:rsidP="005F3E64">
      <w:pPr>
        <w:pStyle w:val="NormalWeb"/>
      </w:pPr>
      <w:r>
        <w:rPr>
          <w:rFonts w:ascii="Calibri" w:hAnsi="Calibri" w:cs="Calibri"/>
          <w:sz w:val="22"/>
          <w:szCs w:val="22"/>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 </w:t>
      </w:r>
    </w:p>
    <w:p w:rsidR="005F3E64" w:rsidRDefault="005F3E64" w:rsidP="005F3E64">
      <w:pPr>
        <w:pStyle w:val="NormalWeb"/>
      </w:pPr>
      <w:r>
        <w:rPr>
          <w:rFonts w:ascii="Calibri" w:hAnsi="Calibri" w:cs="Calibri"/>
          <w:sz w:val="22"/>
          <w:szCs w:val="22"/>
        </w:rPr>
        <w:t xml:space="preserve">Details of the policies and how to access support are available on </w:t>
      </w:r>
      <w:r>
        <w:rPr>
          <w:rFonts w:ascii="Calibri" w:hAnsi="Calibri" w:cs="Calibri"/>
          <w:b/>
          <w:bCs/>
          <w:color w:val="0000FF"/>
          <w:sz w:val="22"/>
          <w:szCs w:val="22"/>
        </w:rPr>
        <w:t>the UBC Senate website</w:t>
      </w:r>
      <w:r>
        <w:rPr>
          <w:rFonts w:ascii="Calibri" w:hAnsi="Calibri" w:cs="Calibri"/>
          <w:b/>
          <w:bCs/>
          <w:sz w:val="22"/>
          <w:szCs w:val="22"/>
        </w:rPr>
        <w:t xml:space="preserve">. </w:t>
      </w:r>
    </w:p>
    <w:p w:rsidR="00B34661" w:rsidRPr="00CA5848" w:rsidRDefault="005F3E64" w:rsidP="00B5678F">
      <w:pPr>
        <w:spacing w:before="100" w:beforeAutospacing="1" w:after="100" w:afterAutospacing="1"/>
        <w:rPr>
          <w:rFonts w:ascii="Lato" w:eastAsia="Times New Roman" w:hAnsi="Lato" w:cs="Times New Roman"/>
          <w:b/>
          <w:bCs/>
          <w:color w:val="2D3B45"/>
          <w:kern w:val="0"/>
          <w14:ligatures w14:val="none"/>
        </w:rPr>
      </w:pPr>
      <w:r w:rsidRPr="00CA5848">
        <w:rPr>
          <w:rFonts w:ascii="Lato" w:eastAsia="Times New Roman" w:hAnsi="Lato" w:cs="Times New Roman"/>
          <w:b/>
          <w:bCs/>
          <w:color w:val="2D3B45"/>
          <w:kern w:val="0"/>
          <w14:ligatures w14:val="none"/>
        </w:rPr>
        <w:t>Learning Analytics</w:t>
      </w:r>
    </w:p>
    <w:p w:rsidR="005F3E64" w:rsidRDefault="005F3E64" w:rsidP="005F3E64">
      <w:pPr>
        <w:pStyle w:val="NormalWeb"/>
      </w:pPr>
      <w:r>
        <w:rPr>
          <w:rFonts w:ascii="Calibri" w:hAnsi="Calibri" w:cs="Calibri"/>
          <w:color w:val="1E4C77"/>
          <w:sz w:val="22"/>
          <w:szCs w:val="22"/>
        </w:rPr>
        <w:lastRenderedPageBreak/>
        <w:t xml:space="preserve">Learning analytics includes the collection and analysis of data about learners to improve teaching and learning. This course will be using the following learning technologies: [Canvas].  This tool captures data about your activity and provides information that can be used to improve the quality of teaching and learning. In this course, I plan to use analytics data to: (Example data uses:) </w:t>
      </w:r>
    </w:p>
    <w:p w:rsidR="005F3E64" w:rsidRDefault="005F3E64" w:rsidP="005F3E64">
      <w:pPr>
        <w:pStyle w:val="NormalWeb"/>
        <w:numPr>
          <w:ilvl w:val="0"/>
          <w:numId w:val="3"/>
        </w:numPr>
        <w:rPr>
          <w:rFonts w:ascii="SymbolMT" w:hAnsi="SymbolMT"/>
          <w:color w:val="1E4C77"/>
          <w:sz w:val="20"/>
          <w:szCs w:val="20"/>
        </w:rPr>
      </w:pPr>
      <w:r>
        <w:rPr>
          <w:rFonts w:ascii="Calibri" w:hAnsi="Calibri" w:cs="Calibri"/>
          <w:color w:val="1E4C77"/>
          <w:sz w:val="22"/>
          <w:szCs w:val="22"/>
        </w:rPr>
        <w:t xml:space="preserve">View overall class progress </w:t>
      </w:r>
    </w:p>
    <w:p w:rsidR="005F3E64" w:rsidRDefault="005F3E64" w:rsidP="005F3E64">
      <w:pPr>
        <w:pStyle w:val="NormalWeb"/>
        <w:numPr>
          <w:ilvl w:val="0"/>
          <w:numId w:val="3"/>
        </w:numPr>
        <w:rPr>
          <w:rFonts w:ascii="SymbolMT" w:hAnsi="SymbolMT"/>
          <w:color w:val="1E4C77"/>
          <w:sz w:val="20"/>
          <w:szCs w:val="20"/>
        </w:rPr>
      </w:pPr>
      <w:r>
        <w:rPr>
          <w:rFonts w:ascii="Calibri" w:hAnsi="Calibri" w:cs="Calibri"/>
          <w:color w:val="1E4C77"/>
          <w:sz w:val="22"/>
          <w:szCs w:val="22"/>
        </w:rPr>
        <w:t xml:space="preserve">Track your progress in order to provide you with personalized feedback </w:t>
      </w:r>
    </w:p>
    <w:p w:rsidR="005F3E64" w:rsidRDefault="005F3E64" w:rsidP="005F3E64">
      <w:pPr>
        <w:pStyle w:val="NormalWeb"/>
        <w:numPr>
          <w:ilvl w:val="0"/>
          <w:numId w:val="3"/>
        </w:numPr>
        <w:rPr>
          <w:rFonts w:ascii="SymbolMT" w:hAnsi="SymbolMT"/>
          <w:color w:val="1E4C77"/>
          <w:sz w:val="20"/>
          <w:szCs w:val="20"/>
        </w:rPr>
      </w:pPr>
      <w:r>
        <w:rPr>
          <w:rFonts w:ascii="Calibri" w:hAnsi="Calibri" w:cs="Calibri"/>
          <w:color w:val="1E4C77"/>
          <w:sz w:val="22"/>
          <w:szCs w:val="22"/>
        </w:rPr>
        <w:t xml:space="preserve">Review statistics on course content being accessed to support improvements in the course </w:t>
      </w:r>
    </w:p>
    <w:p w:rsidR="005F3E64" w:rsidRDefault="00677E7B" w:rsidP="00B5678F">
      <w:pPr>
        <w:spacing w:before="100" w:beforeAutospacing="1" w:after="100" w:afterAutospacing="1"/>
        <w:rPr>
          <w:rFonts w:ascii="Lato" w:eastAsia="Times New Roman" w:hAnsi="Lato" w:cs="Times New Roman"/>
          <w:color w:val="2D3B45"/>
          <w:kern w:val="0"/>
          <w14:ligatures w14:val="none"/>
        </w:rPr>
      </w:pPr>
      <w:r>
        <w:rPr>
          <w:rFonts w:ascii="Lato" w:eastAsia="Times New Roman" w:hAnsi="Lato" w:cs="Times New Roman"/>
          <w:color w:val="2D3B45"/>
          <w:kern w:val="0"/>
          <w14:ligatures w14:val="none"/>
        </w:rPr>
        <w:t>Copyright</w:t>
      </w:r>
    </w:p>
    <w:p w:rsidR="00677E7B" w:rsidRDefault="00677E7B" w:rsidP="00677E7B">
      <w:pPr>
        <w:pStyle w:val="NormalWeb"/>
      </w:pPr>
      <w:r>
        <w:rPr>
          <w:rFonts w:ascii="Calibri" w:hAnsi="Calibri" w:cs="Calibri"/>
          <w:color w:val="1E4C77"/>
          <w:sz w:val="22"/>
          <w:szCs w:val="22"/>
        </w:rPr>
        <w:t xml:space="preserve">All materials of this course (Module Supporting Information on Canvas, assessments) are the intellectual property of the Course Instructor or licensed to be used in this course by the copyright owner. Redistribution of these materials by any means without permission of the copyright holder(s) constitutes a breach of copyright and may lead to academic discipline. </w:t>
      </w:r>
    </w:p>
    <w:p w:rsidR="00677E7B" w:rsidRDefault="00677E7B" w:rsidP="00B5678F">
      <w:pPr>
        <w:spacing w:before="100" w:beforeAutospacing="1" w:after="100" w:afterAutospacing="1"/>
        <w:rPr>
          <w:rFonts w:ascii="Lato" w:eastAsia="Times New Roman" w:hAnsi="Lato" w:cs="Times New Roman"/>
          <w:color w:val="2D3B45"/>
          <w:kern w:val="0"/>
          <w14:ligatures w14:val="none"/>
        </w:rPr>
      </w:pPr>
    </w:p>
    <w:p w:rsidR="00677E7B" w:rsidRDefault="00677E7B" w:rsidP="00B5678F">
      <w:pPr>
        <w:spacing w:before="100" w:beforeAutospacing="1" w:after="100" w:afterAutospacing="1"/>
        <w:rPr>
          <w:rFonts w:ascii="Lato" w:eastAsia="Times New Roman" w:hAnsi="Lato" w:cs="Times New Roman"/>
          <w:color w:val="2D3B45"/>
          <w:kern w:val="0"/>
          <w14:ligatures w14:val="none"/>
        </w:rPr>
      </w:pPr>
    </w:p>
    <w:p w:rsidR="005F3E64" w:rsidRPr="00411CEB" w:rsidRDefault="005F3E64" w:rsidP="00B5678F">
      <w:pPr>
        <w:spacing w:before="100" w:beforeAutospacing="1" w:after="100" w:afterAutospacing="1"/>
        <w:rPr>
          <w:rFonts w:ascii="Lato" w:eastAsia="Times New Roman" w:hAnsi="Lato" w:cs="Times New Roman"/>
          <w:color w:val="2D3B45"/>
          <w:kern w:val="0"/>
          <w14:ligatures w14:val="none"/>
        </w:rPr>
      </w:pPr>
    </w:p>
    <w:p w:rsidR="00B04888" w:rsidRPr="00B5678F" w:rsidRDefault="00B04888" w:rsidP="00B5678F">
      <w:pPr>
        <w:spacing w:before="100" w:beforeAutospacing="1" w:after="100" w:afterAutospacing="1"/>
        <w:rPr>
          <w:rFonts w:ascii="Lato" w:eastAsia="Times New Roman" w:hAnsi="Lato" w:cs="Times New Roman"/>
          <w:color w:val="2D3B45"/>
          <w:kern w:val="0"/>
          <w14:ligatures w14:val="none"/>
        </w:rPr>
      </w:pPr>
    </w:p>
    <w:p w:rsidR="00A62196" w:rsidRDefault="00A62196"/>
    <w:p w:rsidR="00A62196" w:rsidRDefault="00A62196"/>
    <w:p w:rsidR="00A62196" w:rsidRDefault="00A62196"/>
    <w:sectPr w:rsidR="00A62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3425F"/>
    <w:multiLevelType w:val="multilevel"/>
    <w:tmpl w:val="D502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B40D5"/>
    <w:multiLevelType w:val="multilevel"/>
    <w:tmpl w:val="E22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70393"/>
    <w:multiLevelType w:val="hybridMultilevel"/>
    <w:tmpl w:val="7A46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7762058">
    <w:abstractNumId w:val="2"/>
  </w:num>
  <w:num w:numId="2" w16cid:durableId="256864703">
    <w:abstractNumId w:val="0"/>
  </w:num>
  <w:num w:numId="3" w16cid:durableId="66147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FC"/>
    <w:rsid w:val="000C3B3E"/>
    <w:rsid w:val="000C4CF1"/>
    <w:rsid w:val="00150216"/>
    <w:rsid w:val="00193836"/>
    <w:rsid w:val="00411CEB"/>
    <w:rsid w:val="00532A60"/>
    <w:rsid w:val="0057406C"/>
    <w:rsid w:val="005E7DD4"/>
    <w:rsid w:val="005F3E64"/>
    <w:rsid w:val="00677D42"/>
    <w:rsid w:val="00677E7B"/>
    <w:rsid w:val="006D5923"/>
    <w:rsid w:val="008556FC"/>
    <w:rsid w:val="00856358"/>
    <w:rsid w:val="008D6054"/>
    <w:rsid w:val="009B2B38"/>
    <w:rsid w:val="00A62196"/>
    <w:rsid w:val="00AC702A"/>
    <w:rsid w:val="00AD11B2"/>
    <w:rsid w:val="00B04888"/>
    <w:rsid w:val="00B34661"/>
    <w:rsid w:val="00B5678F"/>
    <w:rsid w:val="00B76181"/>
    <w:rsid w:val="00CA5848"/>
    <w:rsid w:val="00E25DA8"/>
    <w:rsid w:val="00E77B5F"/>
    <w:rsid w:val="00EC68BB"/>
    <w:rsid w:val="00FA0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C5ECB4"/>
  <w15:chartTrackingRefBased/>
  <w15:docId w15:val="{752251A2-B63B-8A41-B78F-83B45AD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6F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556FC"/>
    <w:rPr>
      <w:color w:val="0563C1" w:themeColor="hyperlink"/>
      <w:u w:val="single"/>
    </w:rPr>
  </w:style>
  <w:style w:type="character" w:styleId="UnresolvedMention">
    <w:name w:val="Unresolved Mention"/>
    <w:basedOn w:val="DefaultParagraphFont"/>
    <w:uiPriority w:val="99"/>
    <w:semiHidden/>
    <w:unhideWhenUsed/>
    <w:rsid w:val="008556FC"/>
    <w:rPr>
      <w:color w:val="605E5C"/>
      <w:shd w:val="clear" w:color="auto" w:fill="E1DFDD"/>
    </w:rPr>
  </w:style>
  <w:style w:type="paragraph" w:styleId="ListParagraph">
    <w:name w:val="List Paragraph"/>
    <w:basedOn w:val="Normal"/>
    <w:uiPriority w:val="34"/>
    <w:qFormat/>
    <w:rsid w:val="005E7DD4"/>
    <w:pPr>
      <w:ind w:left="720"/>
      <w:contextualSpacing/>
    </w:pPr>
  </w:style>
  <w:style w:type="character" w:styleId="FollowedHyperlink">
    <w:name w:val="FollowedHyperlink"/>
    <w:basedOn w:val="DefaultParagraphFont"/>
    <w:uiPriority w:val="99"/>
    <w:semiHidden/>
    <w:unhideWhenUsed/>
    <w:rsid w:val="00E25DA8"/>
    <w:rPr>
      <w:color w:val="954F72" w:themeColor="followedHyperlink"/>
      <w:u w:val="single"/>
    </w:rPr>
  </w:style>
  <w:style w:type="character" w:styleId="Strong">
    <w:name w:val="Strong"/>
    <w:basedOn w:val="DefaultParagraphFont"/>
    <w:uiPriority w:val="22"/>
    <w:qFormat/>
    <w:rsid w:val="00B56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441">
      <w:bodyDiv w:val="1"/>
      <w:marLeft w:val="0"/>
      <w:marRight w:val="0"/>
      <w:marTop w:val="0"/>
      <w:marBottom w:val="0"/>
      <w:divBdr>
        <w:top w:val="none" w:sz="0" w:space="0" w:color="auto"/>
        <w:left w:val="none" w:sz="0" w:space="0" w:color="auto"/>
        <w:bottom w:val="none" w:sz="0" w:space="0" w:color="auto"/>
        <w:right w:val="none" w:sz="0" w:space="0" w:color="auto"/>
      </w:divBdr>
    </w:div>
    <w:div w:id="1537700349">
      <w:bodyDiv w:val="1"/>
      <w:marLeft w:val="0"/>
      <w:marRight w:val="0"/>
      <w:marTop w:val="0"/>
      <w:marBottom w:val="0"/>
      <w:divBdr>
        <w:top w:val="none" w:sz="0" w:space="0" w:color="auto"/>
        <w:left w:val="none" w:sz="0" w:space="0" w:color="auto"/>
        <w:bottom w:val="none" w:sz="0" w:space="0" w:color="auto"/>
        <w:right w:val="none" w:sz="0" w:space="0" w:color="auto"/>
      </w:divBdr>
      <w:divsChild>
        <w:div w:id="359668333">
          <w:marLeft w:val="0"/>
          <w:marRight w:val="0"/>
          <w:marTop w:val="0"/>
          <w:marBottom w:val="0"/>
          <w:divBdr>
            <w:top w:val="none" w:sz="0" w:space="0" w:color="auto"/>
            <w:left w:val="none" w:sz="0" w:space="0" w:color="auto"/>
            <w:bottom w:val="none" w:sz="0" w:space="0" w:color="auto"/>
            <w:right w:val="none" w:sz="0" w:space="0" w:color="auto"/>
          </w:divBdr>
          <w:divsChild>
            <w:div w:id="1070810915">
              <w:marLeft w:val="0"/>
              <w:marRight w:val="0"/>
              <w:marTop w:val="0"/>
              <w:marBottom w:val="0"/>
              <w:divBdr>
                <w:top w:val="none" w:sz="0" w:space="0" w:color="auto"/>
                <w:left w:val="none" w:sz="0" w:space="0" w:color="auto"/>
                <w:bottom w:val="none" w:sz="0" w:space="0" w:color="auto"/>
                <w:right w:val="none" w:sz="0" w:space="0" w:color="auto"/>
              </w:divBdr>
              <w:divsChild>
                <w:div w:id="163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720169">
          <w:marLeft w:val="0"/>
          <w:marRight w:val="0"/>
          <w:marTop w:val="0"/>
          <w:marBottom w:val="0"/>
          <w:divBdr>
            <w:top w:val="none" w:sz="0" w:space="0" w:color="auto"/>
            <w:left w:val="none" w:sz="0" w:space="0" w:color="auto"/>
            <w:bottom w:val="none" w:sz="0" w:space="0" w:color="auto"/>
            <w:right w:val="none" w:sz="0" w:space="0" w:color="auto"/>
          </w:divBdr>
          <w:divsChild>
            <w:div w:id="845902876">
              <w:marLeft w:val="0"/>
              <w:marRight w:val="0"/>
              <w:marTop w:val="0"/>
              <w:marBottom w:val="0"/>
              <w:divBdr>
                <w:top w:val="none" w:sz="0" w:space="0" w:color="auto"/>
                <w:left w:val="none" w:sz="0" w:space="0" w:color="auto"/>
                <w:bottom w:val="none" w:sz="0" w:space="0" w:color="auto"/>
                <w:right w:val="none" w:sz="0" w:space="0" w:color="auto"/>
              </w:divBdr>
              <w:divsChild>
                <w:div w:id="1364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5938">
      <w:bodyDiv w:val="1"/>
      <w:marLeft w:val="0"/>
      <w:marRight w:val="0"/>
      <w:marTop w:val="0"/>
      <w:marBottom w:val="0"/>
      <w:divBdr>
        <w:top w:val="none" w:sz="0" w:space="0" w:color="auto"/>
        <w:left w:val="none" w:sz="0" w:space="0" w:color="auto"/>
        <w:bottom w:val="none" w:sz="0" w:space="0" w:color="auto"/>
        <w:right w:val="none" w:sz="0" w:space="0" w:color="auto"/>
      </w:divBdr>
      <w:divsChild>
        <w:div w:id="1785150691">
          <w:marLeft w:val="0"/>
          <w:marRight w:val="0"/>
          <w:marTop w:val="0"/>
          <w:marBottom w:val="0"/>
          <w:divBdr>
            <w:top w:val="none" w:sz="0" w:space="0" w:color="auto"/>
            <w:left w:val="none" w:sz="0" w:space="0" w:color="auto"/>
            <w:bottom w:val="none" w:sz="0" w:space="0" w:color="auto"/>
            <w:right w:val="none" w:sz="0" w:space="0" w:color="auto"/>
          </w:divBdr>
          <w:divsChild>
            <w:div w:id="1753770811">
              <w:marLeft w:val="0"/>
              <w:marRight w:val="0"/>
              <w:marTop w:val="0"/>
              <w:marBottom w:val="0"/>
              <w:divBdr>
                <w:top w:val="none" w:sz="0" w:space="0" w:color="auto"/>
                <w:left w:val="none" w:sz="0" w:space="0" w:color="auto"/>
                <w:bottom w:val="none" w:sz="0" w:space="0" w:color="auto"/>
                <w:right w:val="none" w:sz="0" w:space="0" w:color="auto"/>
              </w:divBdr>
              <w:divsChild>
                <w:div w:id="5234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0341">
      <w:bodyDiv w:val="1"/>
      <w:marLeft w:val="0"/>
      <w:marRight w:val="0"/>
      <w:marTop w:val="0"/>
      <w:marBottom w:val="0"/>
      <w:divBdr>
        <w:top w:val="none" w:sz="0" w:space="0" w:color="auto"/>
        <w:left w:val="none" w:sz="0" w:space="0" w:color="auto"/>
        <w:bottom w:val="none" w:sz="0" w:space="0" w:color="auto"/>
        <w:right w:val="none" w:sz="0" w:space="0" w:color="auto"/>
      </w:divBdr>
      <w:divsChild>
        <w:div w:id="2011174653">
          <w:marLeft w:val="0"/>
          <w:marRight w:val="0"/>
          <w:marTop w:val="0"/>
          <w:marBottom w:val="0"/>
          <w:divBdr>
            <w:top w:val="none" w:sz="0" w:space="0" w:color="auto"/>
            <w:left w:val="none" w:sz="0" w:space="0" w:color="auto"/>
            <w:bottom w:val="none" w:sz="0" w:space="0" w:color="auto"/>
            <w:right w:val="none" w:sz="0" w:space="0" w:color="auto"/>
          </w:divBdr>
          <w:divsChild>
            <w:div w:id="1057436018">
              <w:marLeft w:val="0"/>
              <w:marRight w:val="0"/>
              <w:marTop w:val="0"/>
              <w:marBottom w:val="0"/>
              <w:divBdr>
                <w:top w:val="none" w:sz="0" w:space="0" w:color="auto"/>
                <w:left w:val="none" w:sz="0" w:space="0" w:color="auto"/>
                <w:bottom w:val="none" w:sz="0" w:space="0" w:color="auto"/>
                <w:right w:val="none" w:sz="0" w:space="0" w:color="auto"/>
              </w:divBdr>
              <w:divsChild>
                <w:div w:id="6946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bc.ca/about-student-services/centre-for-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ourneya@mail.u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2023-06-21T16:48:00Z</dcterms:created>
  <dcterms:modified xsi:type="dcterms:W3CDTF">2023-07-31T16:54:00Z</dcterms:modified>
</cp:coreProperties>
</file>